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Стационарный </w:t>
      </w:r>
      <w:r w:rsidRPr="00C37614">
        <w:rPr>
          <w:rFonts w:ascii="Arial" w:eastAsia="Times New Roman" w:hAnsi="Arial" w:cs="Arial"/>
          <w:b/>
          <w:bCs/>
          <w:color w:val="666666"/>
          <w:sz w:val="21"/>
          <w:szCs w:val="21"/>
          <w:lang w:eastAsia="ru-RU"/>
        </w:rPr>
        <w:t>сигнализатор СГГ-6М</w:t>
      </w:r>
      <w:r w:rsidRPr="00C37614">
        <w:rPr>
          <w:rFonts w:ascii="Arial" w:eastAsia="Times New Roman" w:hAnsi="Arial" w:cs="Arial"/>
          <w:color w:val="666666"/>
          <w:sz w:val="21"/>
          <w:szCs w:val="21"/>
          <w:lang w:eastAsia="ru-RU"/>
        </w:rPr>
        <w:t xml:space="preserve"> используется для непрерывного контроля концентрации горючих газов в воздухе коммунально-бытовых и промышленных помещений. При превышении заданных порогов концентрации возникает сигнализация. Релейные выходы используются для управления внешними устройствами. Для анализа среды используется термохимический датчик, забор пробы осуществляется </w:t>
      </w:r>
      <w:proofErr w:type="spellStart"/>
      <w:r w:rsidRPr="00C37614">
        <w:rPr>
          <w:rFonts w:ascii="Arial" w:eastAsia="Times New Roman" w:hAnsi="Arial" w:cs="Arial"/>
          <w:color w:val="666666"/>
          <w:sz w:val="21"/>
          <w:szCs w:val="21"/>
          <w:lang w:eastAsia="ru-RU"/>
        </w:rPr>
        <w:t>диффузионно</w:t>
      </w:r>
      <w:proofErr w:type="spellEnd"/>
      <w:r w:rsidRPr="00C37614">
        <w:rPr>
          <w:rFonts w:ascii="Arial" w:eastAsia="Times New Roman" w:hAnsi="Arial" w:cs="Arial"/>
          <w:color w:val="666666"/>
          <w:sz w:val="21"/>
          <w:szCs w:val="21"/>
          <w:lang w:eastAsia="ru-RU"/>
        </w:rPr>
        <w:t>.</w:t>
      </w:r>
    </w:p>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Конструктивно сигнализаторы выполнены в пластмассовом корпусе, на передней панели которого расположены индикатор зеленого цвета свечения «ВКЛ», индикаторы красного цвета свечения «ГАЗ», индикатор желтого цвета свечения «ОТКАЗ». Под передней панелью сигнализаторов расположены защитная крышка, опломбированная наклейкой предприятия-изготовителя, клемма подключения кабеля электропитания и выходного дискретного сигнала, разъем «УПРАВЛ.», предназначенный для выбора значения порога аварийной сигнализации, выраженного в процентах нижнего концентрационного предела распространения пламени (% НКПР) - 10 % НКПР или 20 % НКПР, проведения корректировки нуля и чувствительности.</w:t>
      </w:r>
    </w:p>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Сигнализаторы имеют выходной электрический дискретный сигнал АВАРИЯ. Тип сигнала - дискретное изменение сопротивления электрической цепи ("открытый коллектор").</w:t>
      </w:r>
    </w:p>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Сигнализаторы работают совместно с блоком сигнализации и питания </w:t>
      </w:r>
      <w:hyperlink r:id="rId5" w:history="1">
        <w:r w:rsidRPr="00C37614">
          <w:rPr>
            <w:rFonts w:ascii="Arial" w:eastAsia="Times New Roman" w:hAnsi="Arial" w:cs="Arial"/>
            <w:color w:val="4A80BE"/>
            <w:sz w:val="21"/>
            <w:szCs w:val="21"/>
            <w:lang w:eastAsia="ru-RU"/>
          </w:rPr>
          <w:t>БСП-6М</w:t>
        </w:r>
      </w:hyperlink>
      <w:r w:rsidRPr="00C37614">
        <w:rPr>
          <w:rFonts w:ascii="Arial" w:eastAsia="Times New Roman" w:hAnsi="Arial" w:cs="Arial"/>
          <w:color w:val="666666"/>
          <w:sz w:val="21"/>
          <w:szCs w:val="21"/>
          <w:lang w:eastAsia="ru-RU"/>
        </w:rPr>
        <w:t> ИБЯЛ.418471.001 ТУ, предназначенным для питания сигнализаторов от сети переменного тока, выдачи световой и звуковой сигнализации и формирования управляющего воздействия для включения (отключения) исполнительных устройств.</w:t>
      </w:r>
    </w:p>
    <w:p w:rsidR="00C37614" w:rsidRPr="00C37614" w:rsidRDefault="00C37614" w:rsidP="00C37614">
      <w:pPr>
        <w:shd w:val="clear" w:color="auto" w:fill="FFFFFF"/>
        <w:spacing w:after="0" w:line="240" w:lineRule="auto"/>
        <w:jc w:val="center"/>
        <w:rPr>
          <w:rFonts w:ascii="Arial" w:eastAsia="Times New Roman" w:hAnsi="Arial" w:cs="Arial"/>
          <w:color w:val="666666"/>
          <w:sz w:val="21"/>
          <w:szCs w:val="21"/>
          <w:lang w:eastAsia="ru-RU"/>
        </w:rPr>
      </w:pPr>
      <w:r w:rsidRPr="00C37614">
        <w:rPr>
          <w:rFonts w:ascii="Arial" w:eastAsia="Times New Roman" w:hAnsi="Arial" w:cs="Arial"/>
          <w:noProof/>
          <w:color w:val="666666"/>
          <w:sz w:val="21"/>
          <w:szCs w:val="21"/>
          <w:lang w:eastAsia="ru-RU"/>
        </w:rPr>
        <w:drawing>
          <wp:inline distT="0" distB="0" distL="0" distR="0" wp14:anchorId="193395DB" wp14:editId="03326F54">
            <wp:extent cx="4762500" cy="2781300"/>
            <wp:effectExtent l="0" t="0" r="0" b="0"/>
            <wp:docPr id="1" name="Рисунок 1" descr="СГГ-6М - инфо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ГГ-6М - инфограф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p>
    <w:p w:rsidR="00C37614" w:rsidRPr="00C37614" w:rsidRDefault="00C37614" w:rsidP="00C37614">
      <w:pPr>
        <w:shd w:val="clear" w:color="auto" w:fill="FFFFFF"/>
        <w:spacing w:before="300" w:after="150" w:line="240" w:lineRule="auto"/>
        <w:outlineLvl w:val="1"/>
        <w:rPr>
          <w:rFonts w:ascii="Arial" w:eastAsia="Times New Roman" w:hAnsi="Arial" w:cs="Arial"/>
          <w:color w:val="FB7E25"/>
          <w:sz w:val="27"/>
          <w:szCs w:val="27"/>
          <w:lang w:eastAsia="ru-RU"/>
        </w:rPr>
      </w:pPr>
      <w:r w:rsidRPr="00C37614">
        <w:rPr>
          <w:rFonts w:ascii="Arial" w:eastAsia="Times New Roman" w:hAnsi="Arial" w:cs="Arial"/>
          <w:color w:val="FB7E25"/>
          <w:sz w:val="27"/>
          <w:szCs w:val="27"/>
          <w:lang w:eastAsia="ru-RU"/>
        </w:rPr>
        <w:t>Особенности</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Долгий срок службы термохимического датчика - 5 лет;</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Устойчив к воздействию неопределяемых компонентов;</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Широкий диапазон рабочих температур - 10 до +50 °С;</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Возможность корректировки порогов сигнализации (10 - 20% НКПР);</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 xml:space="preserve">Кабели присоединяются с помощью </w:t>
      </w:r>
      <w:proofErr w:type="spellStart"/>
      <w:r w:rsidRPr="00C37614">
        <w:rPr>
          <w:rFonts w:ascii="Arial" w:eastAsia="Times New Roman" w:hAnsi="Arial" w:cs="Arial"/>
          <w:color w:val="666666"/>
          <w:sz w:val="21"/>
          <w:szCs w:val="21"/>
          <w:lang w:eastAsia="ru-RU"/>
        </w:rPr>
        <w:t>клеммной</w:t>
      </w:r>
      <w:proofErr w:type="spellEnd"/>
      <w:r w:rsidRPr="00C37614">
        <w:rPr>
          <w:rFonts w:ascii="Arial" w:eastAsia="Times New Roman" w:hAnsi="Arial" w:cs="Arial"/>
          <w:color w:val="666666"/>
          <w:sz w:val="21"/>
          <w:szCs w:val="21"/>
          <w:lang w:eastAsia="ru-RU"/>
        </w:rPr>
        <w:t xml:space="preserve"> колодки, без пайки;</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proofErr w:type="spellStart"/>
      <w:r w:rsidRPr="00C37614">
        <w:rPr>
          <w:rFonts w:ascii="Arial" w:eastAsia="Times New Roman" w:hAnsi="Arial" w:cs="Arial"/>
          <w:color w:val="666666"/>
          <w:sz w:val="21"/>
          <w:szCs w:val="21"/>
          <w:lang w:eastAsia="ru-RU"/>
        </w:rPr>
        <w:t>Автокалибровка</w:t>
      </w:r>
      <w:proofErr w:type="spellEnd"/>
      <w:r w:rsidRPr="00C37614">
        <w:rPr>
          <w:rFonts w:ascii="Arial" w:eastAsia="Times New Roman" w:hAnsi="Arial" w:cs="Arial"/>
          <w:color w:val="666666"/>
          <w:sz w:val="21"/>
          <w:szCs w:val="21"/>
          <w:lang w:eastAsia="ru-RU"/>
        </w:rPr>
        <w:t>;</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Малые габариты и вес;</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proofErr w:type="spellStart"/>
      <w:r w:rsidRPr="00C37614">
        <w:rPr>
          <w:rFonts w:ascii="Arial" w:eastAsia="Times New Roman" w:hAnsi="Arial" w:cs="Arial"/>
          <w:color w:val="666666"/>
          <w:sz w:val="21"/>
          <w:szCs w:val="21"/>
          <w:lang w:eastAsia="ru-RU"/>
        </w:rPr>
        <w:t>Шлейфовое</w:t>
      </w:r>
      <w:proofErr w:type="spellEnd"/>
      <w:r w:rsidRPr="00C37614">
        <w:rPr>
          <w:rFonts w:ascii="Arial" w:eastAsia="Times New Roman" w:hAnsi="Arial" w:cs="Arial"/>
          <w:color w:val="666666"/>
          <w:sz w:val="21"/>
          <w:szCs w:val="21"/>
          <w:lang w:eastAsia="ru-RU"/>
        </w:rPr>
        <w:t xml:space="preserve"> соединение приборов;</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Совместим с </w:t>
      </w:r>
      <w:hyperlink r:id="rId7" w:history="1">
        <w:r w:rsidRPr="00C37614">
          <w:rPr>
            <w:rFonts w:ascii="Arial" w:eastAsia="Times New Roman" w:hAnsi="Arial" w:cs="Arial"/>
            <w:color w:val="4A80BE"/>
            <w:sz w:val="21"/>
            <w:szCs w:val="21"/>
            <w:lang w:eastAsia="ru-RU"/>
          </w:rPr>
          <w:t>сигнализатором оксида углерода СОУ-1</w:t>
        </w:r>
      </w:hyperlink>
      <w:r w:rsidRPr="00C37614">
        <w:rPr>
          <w:rFonts w:ascii="Arial" w:eastAsia="Times New Roman" w:hAnsi="Arial" w:cs="Arial"/>
          <w:color w:val="666666"/>
          <w:sz w:val="21"/>
          <w:szCs w:val="21"/>
          <w:lang w:eastAsia="ru-RU"/>
        </w:rPr>
        <w:t>;</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Возможна работа как с низковольтными, так и с сетевыми клапанами;</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Функция тестирования исполнительных устройств;</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Возможность связи с диспетчерским пультом;</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Наличие силовых релейных выходов;</w:t>
      </w:r>
    </w:p>
    <w:p w:rsidR="00C37614" w:rsidRPr="00C37614" w:rsidRDefault="00C37614" w:rsidP="00C37614">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Гарантия - 2 года.</w:t>
      </w:r>
    </w:p>
    <w:p w:rsidR="00C37614" w:rsidRPr="00C37614" w:rsidRDefault="00C37614" w:rsidP="00C37614">
      <w:pPr>
        <w:shd w:val="clear" w:color="auto" w:fill="FFFFFF"/>
        <w:spacing w:before="300" w:after="150" w:line="240" w:lineRule="auto"/>
        <w:outlineLvl w:val="1"/>
        <w:rPr>
          <w:rFonts w:ascii="Arial" w:eastAsia="Times New Roman" w:hAnsi="Arial" w:cs="Arial"/>
          <w:color w:val="FB7E25"/>
          <w:sz w:val="27"/>
          <w:szCs w:val="27"/>
          <w:lang w:eastAsia="ru-RU"/>
        </w:rPr>
      </w:pPr>
      <w:r w:rsidRPr="00C37614">
        <w:rPr>
          <w:rFonts w:ascii="Arial" w:eastAsia="Times New Roman" w:hAnsi="Arial" w:cs="Arial"/>
          <w:color w:val="FB7E25"/>
          <w:sz w:val="27"/>
          <w:szCs w:val="27"/>
          <w:lang w:eastAsia="ru-RU"/>
        </w:rPr>
        <w:t>Режимы работы</w:t>
      </w:r>
    </w:p>
    <w:tbl>
      <w:tblPr>
        <w:tblW w:w="5000" w:type="pct"/>
        <w:tblCellMar>
          <w:top w:w="15" w:type="dxa"/>
          <w:left w:w="15" w:type="dxa"/>
          <w:bottom w:w="15" w:type="dxa"/>
          <w:right w:w="15" w:type="dxa"/>
        </w:tblCellMar>
        <w:tblLook w:val="04A0" w:firstRow="1" w:lastRow="0" w:firstColumn="1" w:lastColumn="0" w:noHBand="0" w:noVBand="1"/>
      </w:tblPr>
      <w:tblGrid>
        <w:gridCol w:w="2305"/>
        <w:gridCol w:w="2018"/>
        <w:gridCol w:w="5016"/>
      </w:tblGrid>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C37614" w:rsidRPr="00C37614" w:rsidRDefault="00C37614" w:rsidP="00C37614">
            <w:pPr>
              <w:spacing w:before="300" w:after="300" w:line="240" w:lineRule="auto"/>
              <w:jc w:val="center"/>
              <w:rPr>
                <w:rFonts w:ascii="Times New Roman" w:eastAsia="Times New Roman" w:hAnsi="Times New Roman" w:cs="Times New Roman"/>
                <w:b/>
                <w:bCs/>
                <w:sz w:val="24"/>
                <w:szCs w:val="24"/>
                <w:lang w:eastAsia="ru-RU"/>
              </w:rPr>
            </w:pPr>
            <w:r w:rsidRPr="00C37614">
              <w:rPr>
                <w:rFonts w:ascii="Times New Roman" w:eastAsia="Times New Roman" w:hAnsi="Times New Roman" w:cs="Times New Roman"/>
                <w:b/>
                <w:bCs/>
                <w:sz w:val="24"/>
                <w:szCs w:val="24"/>
                <w:lang w:eastAsia="ru-RU"/>
              </w:rPr>
              <w:lastRenderedPageBreak/>
              <w:t>Состояние</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C37614" w:rsidRPr="00C37614" w:rsidRDefault="00C37614" w:rsidP="00C37614">
            <w:pPr>
              <w:spacing w:before="300" w:after="300" w:line="240" w:lineRule="auto"/>
              <w:jc w:val="center"/>
              <w:rPr>
                <w:rFonts w:ascii="Times New Roman" w:eastAsia="Times New Roman" w:hAnsi="Times New Roman" w:cs="Times New Roman"/>
                <w:b/>
                <w:bCs/>
                <w:sz w:val="24"/>
                <w:szCs w:val="24"/>
                <w:lang w:eastAsia="ru-RU"/>
              </w:rPr>
            </w:pPr>
            <w:r w:rsidRPr="00C37614">
              <w:rPr>
                <w:rFonts w:ascii="Times New Roman" w:eastAsia="Times New Roman" w:hAnsi="Times New Roman" w:cs="Times New Roman"/>
                <w:b/>
                <w:bCs/>
                <w:sz w:val="24"/>
                <w:szCs w:val="24"/>
                <w:lang w:eastAsia="ru-RU"/>
              </w:rPr>
              <w:t>Индикация</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C37614" w:rsidRPr="00C37614" w:rsidRDefault="00C37614" w:rsidP="00C37614">
            <w:pPr>
              <w:spacing w:before="300" w:after="300" w:line="240" w:lineRule="auto"/>
              <w:jc w:val="center"/>
              <w:rPr>
                <w:rFonts w:ascii="Times New Roman" w:eastAsia="Times New Roman" w:hAnsi="Times New Roman" w:cs="Times New Roman"/>
                <w:b/>
                <w:bCs/>
                <w:sz w:val="24"/>
                <w:szCs w:val="24"/>
                <w:lang w:eastAsia="ru-RU"/>
              </w:rPr>
            </w:pPr>
            <w:r w:rsidRPr="00C37614">
              <w:rPr>
                <w:rFonts w:ascii="Times New Roman" w:eastAsia="Times New Roman" w:hAnsi="Times New Roman" w:cs="Times New Roman"/>
                <w:b/>
                <w:bCs/>
                <w:sz w:val="24"/>
                <w:szCs w:val="24"/>
                <w:lang w:eastAsia="ru-RU"/>
              </w:rPr>
              <w:t>Описание</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СИГНАЛИЗАТОР ВКЛЮЧЕН</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Горит индикатор зеленого цвета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Напряжение подано, сигнализатор работает</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АВАРИЙНАЯ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Прерывистое мигание красного индикатора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Содержание горючих газов в месте установки сигнализатора превысило установленный порог срабатывания сигнализации.</w:t>
            </w:r>
            <w:r w:rsidRPr="00C37614">
              <w:rPr>
                <w:rFonts w:ascii="Times New Roman" w:eastAsia="Times New Roman" w:hAnsi="Times New Roman" w:cs="Times New Roman"/>
                <w:sz w:val="24"/>
                <w:szCs w:val="24"/>
                <w:lang w:eastAsia="ru-RU"/>
              </w:rPr>
              <w:br/>
              <w:t>- Автоматически отключается при снижении содержания определяемого компонента в контролируемой среде относительно установленного порога срабатывания сигнализации.</w:t>
            </w:r>
            <w:r w:rsidRPr="00C37614">
              <w:rPr>
                <w:rFonts w:ascii="Times New Roman" w:eastAsia="Times New Roman" w:hAnsi="Times New Roman" w:cs="Times New Roman"/>
                <w:sz w:val="24"/>
                <w:szCs w:val="24"/>
                <w:lang w:eastAsia="ru-RU"/>
              </w:rPr>
              <w:br/>
              <w:t>- Для обеспечения функции самоблокировки сигнализации АВАРИЙНАЯ необходимо подключение сигнализатора к блокам БСП-6М</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ОТКАЗ</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Горит индикатор желтого цвета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Обрыв (перегорание) или короткое замыкание ЧЭ ТХД, или неисправность измерительной схемы сигнализатора</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КОРРЕКТИРОВКА НУЛЯ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Мигает индикатор желтого цвета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Проведение корректировки нуля и чувствительности при подаче соответствующих сигналов на порт управления</w:t>
            </w:r>
          </w:p>
        </w:tc>
      </w:tr>
    </w:tbl>
    <w:p w:rsidR="00C37614" w:rsidRPr="00C37614" w:rsidRDefault="00C37614" w:rsidP="00C37614">
      <w:pPr>
        <w:shd w:val="clear" w:color="auto" w:fill="FFFFFF"/>
        <w:spacing w:before="300" w:after="150" w:line="240" w:lineRule="auto"/>
        <w:outlineLvl w:val="1"/>
        <w:rPr>
          <w:rFonts w:ascii="Arial" w:eastAsia="Times New Roman" w:hAnsi="Arial" w:cs="Arial"/>
          <w:color w:val="FB7E25"/>
          <w:sz w:val="27"/>
          <w:szCs w:val="27"/>
          <w:lang w:eastAsia="ru-RU"/>
        </w:rPr>
      </w:pPr>
      <w:r w:rsidRPr="00C37614">
        <w:rPr>
          <w:rFonts w:ascii="Arial" w:eastAsia="Times New Roman" w:hAnsi="Arial" w:cs="Arial"/>
          <w:color w:val="FB7E25"/>
          <w:sz w:val="27"/>
          <w:szCs w:val="27"/>
          <w:lang w:eastAsia="ru-RU"/>
        </w:rPr>
        <w:t>Технические характеристики СГГ-6М</w:t>
      </w:r>
    </w:p>
    <w:tbl>
      <w:tblPr>
        <w:tblW w:w="5000" w:type="pct"/>
        <w:tblCellMar>
          <w:top w:w="15" w:type="dxa"/>
          <w:left w:w="15" w:type="dxa"/>
          <w:bottom w:w="15" w:type="dxa"/>
          <w:right w:w="15" w:type="dxa"/>
        </w:tblCellMar>
        <w:tblLook w:val="04A0" w:firstRow="1" w:lastRow="0" w:firstColumn="1" w:lastColumn="0" w:noHBand="0" w:noVBand="1"/>
      </w:tblPr>
      <w:tblGrid>
        <w:gridCol w:w="5232"/>
        <w:gridCol w:w="4107"/>
      </w:tblGrid>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C37614" w:rsidRPr="00C37614" w:rsidRDefault="00C37614" w:rsidP="00C37614">
            <w:pPr>
              <w:spacing w:before="300" w:after="300" w:line="240" w:lineRule="auto"/>
              <w:jc w:val="center"/>
              <w:rPr>
                <w:rFonts w:ascii="Times New Roman" w:eastAsia="Times New Roman" w:hAnsi="Times New Roman" w:cs="Times New Roman"/>
                <w:b/>
                <w:bCs/>
                <w:sz w:val="24"/>
                <w:szCs w:val="24"/>
                <w:lang w:eastAsia="ru-RU"/>
              </w:rPr>
            </w:pPr>
            <w:r w:rsidRPr="00C37614">
              <w:rPr>
                <w:rFonts w:ascii="Times New Roman" w:eastAsia="Times New Roman" w:hAnsi="Times New Roman" w:cs="Times New Roman"/>
                <w:b/>
                <w:bCs/>
                <w:sz w:val="24"/>
                <w:szCs w:val="24"/>
                <w:lang w:eastAsia="ru-RU"/>
              </w:rPr>
              <w:t>Параметр</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C37614" w:rsidRPr="00C37614" w:rsidRDefault="00C37614" w:rsidP="00C37614">
            <w:pPr>
              <w:spacing w:before="300" w:after="300" w:line="240" w:lineRule="auto"/>
              <w:jc w:val="center"/>
              <w:rPr>
                <w:rFonts w:ascii="Times New Roman" w:eastAsia="Times New Roman" w:hAnsi="Times New Roman" w:cs="Times New Roman"/>
                <w:b/>
                <w:bCs/>
                <w:sz w:val="24"/>
                <w:szCs w:val="24"/>
                <w:lang w:eastAsia="ru-RU"/>
              </w:rPr>
            </w:pPr>
            <w:r w:rsidRPr="00C37614">
              <w:rPr>
                <w:rFonts w:ascii="Times New Roman" w:eastAsia="Times New Roman" w:hAnsi="Times New Roman" w:cs="Times New Roman"/>
                <w:b/>
                <w:bCs/>
                <w:sz w:val="24"/>
                <w:szCs w:val="24"/>
                <w:lang w:eastAsia="ru-RU"/>
              </w:rPr>
              <w:t>Значение</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Принцип измерений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Термохимический</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Способ забора пробы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Диффузионный</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Режим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Непрерывный</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lastRenderedPageBreak/>
              <w:t>Рабочее положение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Вертикальное, угол наклона в любом направлении не более</w:t>
            </w:r>
            <w:r w:rsidRPr="00C37614">
              <w:rPr>
                <w:rFonts w:ascii="Times New Roman" w:eastAsia="Times New Roman" w:hAnsi="Times New Roman" w:cs="Times New Roman"/>
                <w:sz w:val="24"/>
                <w:szCs w:val="24"/>
                <w:lang w:eastAsia="ru-RU"/>
              </w:rPr>
              <w:br/>
              <w:t>20°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Время прогрева сигнализатора, мин,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5</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Время срабатывания сигнализации, с,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15</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Расстояние между блоками СГГ-6М и БСП-6М, м,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200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Электрическое питание, 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от 8 до 14</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Мощность, потребляемая сигнализатором, Вт,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5</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Габаритные размеры, мм</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70х50х110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Значение порога сигнализации "АВАРИЙНАЯ"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20 % НКПР</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Диапазон регулировки порога сигнализации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10 или 20 % НКПР *</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Поверочный компонент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Метан</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Пределы допускаемой абсолютной погрешности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5 % НКПР.</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proofErr w:type="spellStart"/>
            <w:r w:rsidRPr="00C37614">
              <w:rPr>
                <w:rFonts w:ascii="Times New Roman" w:eastAsia="Times New Roman" w:hAnsi="Times New Roman" w:cs="Times New Roman"/>
                <w:sz w:val="24"/>
                <w:szCs w:val="24"/>
                <w:lang w:eastAsia="ru-RU"/>
              </w:rPr>
              <w:t>Взрывозащита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Нет</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proofErr w:type="spellStart"/>
            <w:r w:rsidRPr="00C37614">
              <w:rPr>
                <w:rFonts w:ascii="Times New Roman" w:eastAsia="Times New Roman" w:hAnsi="Times New Roman" w:cs="Times New Roman"/>
                <w:sz w:val="24"/>
                <w:szCs w:val="24"/>
                <w:lang w:eastAsia="ru-RU"/>
              </w:rPr>
              <w:t>Степерь</w:t>
            </w:r>
            <w:proofErr w:type="spellEnd"/>
            <w:r w:rsidRPr="00C37614">
              <w:rPr>
                <w:rFonts w:ascii="Times New Roman" w:eastAsia="Times New Roman" w:hAnsi="Times New Roman" w:cs="Times New Roman"/>
                <w:sz w:val="24"/>
                <w:szCs w:val="24"/>
                <w:lang w:eastAsia="ru-RU"/>
              </w:rPr>
              <w:t xml:space="preserve"> защиты корпуса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IP30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lastRenderedPageBreak/>
              <w:t>Устойчивость к воздействию температуры и влажности по ГОСТ Р 52931-2008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В3</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Климатическое исполнение по ГОСТ 15150-69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УХЛ 4</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Диапазон рабочих температур</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минус 10 до плюс 50 °С.</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Атмосферное давление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от 84 до 106,7 кПа</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Относительная влажность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от 30 до 95 % при температуре 40 °С;</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Габаритные размеры, мм</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70х50х110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Масса, г,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500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 xml:space="preserve">Время автоматической работы сигнализатора без технического обслуживания, </w:t>
            </w:r>
            <w:proofErr w:type="spellStart"/>
            <w:r w:rsidRPr="00C37614">
              <w:rPr>
                <w:rFonts w:ascii="Times New Roman" w:eastAsia="Times New Roman" w:hAnsi="Times New Roman" w:cs="Times New Roman"/>
                <w:sz w:val="24"/>
                <w:szCs w:val="24"/>
                <w:lang w:eastAsia="ru-RU"/>
              </w:rPr>
              <w:t>мес</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12</w:t>
            </w:r>
          </w:p>
        </w:tc>
      </w:tr>
    </w:tbl>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Примечания:</w:t>
      </w:r>
      <w:r w:rsidRPr="00C37614">
        <w:rPr>
          <w:rFonts w:ascii="Arial" w:eastAsia="Times New Roman" w:hAnsi="Arial" w:cs="Arial"/>
          <w:color w:val="666666"/>
          <w:sz w:val="21"/>
          <w:szCs w:val="21"/>
          <w:lang w:eastAsia="ru-RU"/>
        </w:rPr>
        <w:br/>
        <w:t>* - Допускается установка порогов сигнализации АВАРИЙНАЯ, отличных от указанных, что должно оговариваться при заказе сигнализатора.</w:t>
      </w:r>
    </w:p>
    <w:p w:rsidR="00C37614" w:rsidRPr="00C37614" w:rsidRDefault="00C37614" w:rsidP="00C37614">
      <w:pPr>
        <w:shd w:val="clear" w:color="auto" w:fill="FFFFFF"/>
        <w:spacing w:before="300" w:after="150" w:line="240" w:lineRule="auto"/>
        <w:outlineLvl w:val="1"/>
        <w:rPr>
          <w:rFonts w:ascii="Arial" w:eastAsia="Times New Roman" w:hAnsi="Arial" w:cs="Arial"/>
          <w:color w:val="FB7E25"/>
          <w:sz w:val="27"/>
          <w:szCs w:val="27"/>
          <w:lang w:eastAsia="ru-RU"/>
        </w:rPr>
      </w:pPr>
      <w:r w:rsidRPr="00C37614">
        <w:rPr>
          <w:rFonts w:ascii="Arial" w:eastAsia="Times New Roman" w:hAnsi="Arial" w:cs="Arial"/>
          <w:color w:val="FB7E25"/>
          <w:sz w:val="27"/>
          <w:szCs w:val="27"/>
          <w:lang w:eastAsia="ru-RU"/>
        </w:rPr>
        <w:t>Технические характеристики БСП-6М</w:t>
      </w:r>
    </w:p>
    <w:tbl>
      <w:tblPr>
        <w:tblW w:w="5000" w:type="pct"/>
        <w:tblCellMar>
          <w:left w:w="0" w:type="dxa"/>
          <w:right w:w="0" w:type="dxa"/>
        </w:tblCellMar>
        <w:tblLook w:val="04A0" w:firstRow="1" w:lastRow="0" w:firstColumn="1" w:lastColumn="0" w:noHBand="0" w:noVBand="1"/>
      </w:tblPr>
      <w:tblGrid>
        <w:gridCol w:w="7193"/>
        <w:gridCol w:w="2146"/>
      </w:tblGrid>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C37614" w:rsidRPr="00C37614" w:rsidRDefault="00C37614" w:rsidP="00C37614">
            <w:pPr>
              <w:spacing w:before="300" w:after="300" w:line="240" w:lineRule="auto"/>
              <w:jc w:val="center"/>
              <w:rPr>
                <w:rFonts w:ascii="Times New Roman" w:eastAsia="Times New Roman" w:hAnsi="Times New Roman" w:cs="Times New Roman"/>
                <w:b/>
                <w:bCs/>
                <w:sz w:val="24"/>
                <w:szCs w:val="24"/>
                <w:lang w:eastAsia="ru-RU"/>
              </w:rPr>
            </w:pPr>
            <w:r w:rsidRPr="00C37614">
              <w:rPr>
                <w:rFonts w:ascii="Times New Roman" w:eastAsia="Times New Roman" w:hAnsi="Times New Roman" w:cs="Times New Roman"/>
                <w:b/>
                <w:bCs/>
                <w:sz w:val="24"/>
                <w:szCs w:val="24"/>
                <w:lang w:eastAsia="ru-RU"/>
              </w:rPr>
              <w:t>Характеристики</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30" w:type="dxa"/>
              <w:left w:w="30" w:type="dxa"/>
              <w:bottom w:w="30" w:type="dxa"/>
              <w:right w:w="30" w:type="dxa"/>
            </w:tcMar>
            <w:vAlign w:val="center"/>
            <w:hideMark/>
          </w:tcPr>
          <w:p w:rsidR="00C37614" w:rsidRPr="00C37614" w:rsidRDefault="00C37614" w:rsidP="00C37614">
            <w:pPr>
              <w:spacing w:before="300" w:after="300" w:line="240" w:lineRule="auto"/>
              <w:jc w:val="center"/>
              <w:rPr>
                <w:rFonts w:ascii="Times New Roman" w:eastAsia="Times New Roman" w:hAnsi="Times New Roman" w:cs="Times New Roman"/>
                <w:b/>
                <w:bCs/>
                <w:sz w:val="24"/>
                <w:szCs w:val="24"/>
                <w:lang w:eastAsia="ru-RU"/>
              </w:rPr>
            </w:pPr>
            <w:r w:rsidRPr="00C37614">
              <w:rPr>
                <w:rFonts w:ascii="Times New Roman" w:eastAsia="Times New Roman" w:hAnsi="Times New Roman" w:cs="Times New Roman"/>
                <w:b/>
                <w:bCs/>
                <w:sz w:val="24"/>
                <w:szCs w:val="24"/>
                <w:lang w:eastAsia="ru-RU"/>
              </w:rPr>
              <w:t>Значения</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Рабочий диапазон температур, °С</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от -10 до +50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Напряжение питания, 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от 150 до 253 50Гц</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Потребляемая мощность, ВА,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6</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Параметры реле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5 А, 220 В</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lastRenderedPageBreak/>
              <w:t>Выходное напряжение для питания СГГ-6М, В</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12</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Звуковое давление сигнализации на расстоянии 1м, дБ, не менее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70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Задержка срабатывания сигнализации, с,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0,3</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Габариты, мм,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200х70х140</w:t>
            </w:r>
          </w:p>
        </w:tc>
      </w:tr>
      <w:tr w:rsidR="00C37614" w:rsidRPr="00C37614" w:rsidTr="00C37614">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Масса, кг,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30" w:type="dxa"/>
              <w:bottom w:w="30" w:type="dxa"/>
              <w:right w:w="30" w:type="dxa"/>
            </w:tcMar>
            <w:vAlign w:val="cente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0,8</w:t>
            </w:r>
          </w:p>
        </w:tc>
      </w:tr>
    </w:tbl>
    <w:p w:rsidR="00C37614" w:rsidRPr="00C37614" w:rsidRDefault="00C37614" w:rsidP="00C37614">
      <w:pPr>
        <w:shd w:val="clear" w:color="auto" w:fill="FFFFFF"/>
        <w:spacing w:before="300" w:after="150" w:line="240" w:lineRule="auto"/>
        <w:outlineLvl w:val="1"/>
        <w:rPr>
          <w:rFonts w:ascii="Arial" w:eastAsia="Times New Roman" w:hAnsi="Arial" w:cs="Arial"/>
          <w:color w:val="FB7E25"/>
          <w:sz w:val="27"/>
          <w:szCs w:val="27"/>
          <w:lang w:eastAsia="ru-RU"/>
        </w:rPr>
      </w:pPr>
      <w:r w:rsidRPr="00C37614">
        <w:rPr>
          <w:rFonts w:ascii="Arial" w:eastAsia="Times New Roman" w:hAnsi="Arial" w:cs="Arial"/>
          <w:color w:val="FB7E25"/>
          <w:sz w:val="27"/>
          <w:szCs w:val="27"/>
          <w:lang w:eastAsia="ru-RU"/>
        </w:rPr>
        <w:t>Габаритные размеры</w:t>
      </w:r>
    </w:p>
    <w:p w:rsidR="00C37614" w:rsidRPr="00C37614" w:rsidRDefault="00C37614" w:rsidP="00C37614">
      <w:pPr>
        <w:shd w:val="clear" w:color="auto" w:fill="FFFFFF"/>
        <w:spacing w:after="0" w:line="240" w:lineRule="auto"/>
        <w:jc w:val="center"/>
        <w:rPr>
          <w:rFonts w:ascii="Arial" w:eastAsia="Times New Roman" w:hAnsi="Arial" w:cs="Arial"/>
          <w:color w:val="666666"/>
          <w:sz w:val="21"/>
          <w:szCs w:val="21"/>
          <w:lang w:eastAsia="ru-RU"/>
        </w:rPr>
      </w:pPr>
      <w:r w:rsidRPr="00C37614">
        <w:rPr>
          <w:rFonts w:ascii="Arial" w:eastAsia="Times New Roman" w:hAnsi="Arial" w:cs="Arial"/>
          <w:noProof/>
          <w:color w:val="666666"/>
          <w:sz w:val="21"/>
          <w:szCs w:val="21"/>
          <w:lang w:eastAsia="ru-RU"/>
        </w:rPr>
        <w:drawing>
          <wp:inline distT="0" distB="0" distL="0" distR="0" wp14:anchorId="6B08B83D" wp14:editId="1C45CCFD">
            <wp:extent cx="4886325" cy="2314575"/>
            <wp:effectExtent l="0" t="0" r="9525" b="9525"/>
            <wp:docPr id="2" name="Рисунок 2" descr="Габаритные размеры СГГ-6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баритные размеры СГГ-6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2314575"/>
                    </a:xfrm>
                    <a:prstGeom prst="rect">
                      <a:avLst/>
                    </a:prstGeom>
                    <a:noFill/>
                    <a:ln>
                      <a:noFill/>
                    </a:ln>
                  </pic:spPr>
                </pic:pic>
              </a:graphicData>
            </a:graphic>
          </wp:inline>
        </w:drawing>
      </w:r>
    </w:p>
    <w:p w:rsidR="00C37614" w:rsidRPr="00C37614" w:rsidRDefault="00C37614" w:rsidP="00C37614">
      <w:pPr>
        <w:shd w:val="clear" w:color="auto" w:fill="FFFFFF"/>
        <w:spacing w:before="300" w:after="150" w:line="240" w:lineRule="auto"/>
        <w:outlineLvl w:val="1"/>
        <w:rPr>
          <w:rFonts w:ascii="Arial" w:eastAsia="Times New Roman" w:hAnsi="Arial" w:cs="Arial"/>
          <w:color w:val="FB7E25"/>
          <w:sz w:val="27"/>
          <w:szCs w:val="27"/>
          <w:lang w:eastAsia="ru-RU"/>
        </w:rPr>
      </w:pPr>
      <w:r w:rsidRPr="00C37614">
        <w:rPr>
          <w:rFonts w:ascii="Arial" w:eastAsia="Times New Roman" w:hAnsi="Arial" w:cs="Arial"/>
          <w:color w:val="FB7E25"/>
          <w:sz w:val="27"/>
          <w:szCs w:val="27"/>
          <w:lang w:eastAsia="ru-RU"/>
        </w:rPr>
        <w:t>Подключение</w:t>
      </w:r>
    </w:p>
    <w:tbl>
      <w:tblPr>
        <w:tblW w:w="0" w:type="auto"/>
        <w:tblCellMar>
          <w:top w:w="300" w:type="dxa"/>
          <w:left w:w="300" w:type="dxa"/>
          <w:bottom w:w="300" w:type="dxa"/>
          <w:right w:w="300" w:type="dxa"/>
        </w:tblCellMar>
        <w:tblLook w:val="04A0" w:firstRow="1" w:lastRow="0" w:firstColumn="1" w:lastColumn="0" w:noHBand="0" w:noVBand="1"/>
      </w:tblPr>
      <w:tblGrid>
        <w:gridCol w:w="3988"/>
        <w:gridCol w:w="5367"/>
      </w:tblGrid>
      <w:tr w:rsidR="00C37614" w:rsidRPr="00C37614" w:rsidTr="00C37614">
        <w:tc>
          <w:tcPr>
            <w:tcW w:w="0" w:type="auto"/>
            <w:shd w:val="clear" w:color="auto" w:fill="auto"/>
            <w:tcMar>
              <w:top w:w="0" w:type="dxa"/>
              <w:left w:w="0" w:type="dxa"/>
              <w:bottom w:w="0" w:type="dxa"/>
              <w:right w:w="0" w:type="dxa"/>
            </w:tcMa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Назначение контактов клеммы питания:</w:t>
            </w:r>
            <w:r w:rsidRPr="00C37614">
              <w:rPr>
                <w:rFonts w:ascii="Times New Roman" w:eastAsia="Times New Roman" w:hAnsi="Times New Roman" w:cs="Times New Roman"/>
                <w:sz w:val="24"/>
                <w:szCs w:val="24"/>
                <w:lang w:eastAsia="ru-RU"/>
              </w:rPr>
              <w:br/>
            </w:r>
            <w:r w:rsidRPr="00C37614">
              <w:rPr>
                <w:rFonts w:ascii="Times New Roman" w:eastAsia="Times New Roman" w:hAnsi="Times New Roman" w:cs="Times New Roman"/>
                <w:noProof/>
                <w:sz w:val="24"/>
                <w:szCs w:val="24"/>
                <w:lang w:eastAsia="ru-RU"/>
              </w:rPr>
              <w:drawing>
                <wp:inline distT="0" distB="0" distL="0" distR="0" wp14:anchorId="4890F984" wp14:editId="7A9EB62C">
                  <wp:extent cx="3076575" cy="1619250"/>
                  <wp:effectExtent l="0" t="0" r="9525" b="0"/>
                  <wp:docPr id="3" name="Рисунок 3" descr="Назначение контактов клеммы питания СГГ-6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значение контактов клеммы питания СГГ-6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6192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hideMark/>
          </w:tcPr>
          <w:p w:rsidR="00C37614" w:rsidRPr="00C37614" w:rsidRDefault="00C37614" w:rsidP="00C37614">
            <w:pPr>
              <w:spacing w:before="300" w:after="300" w:line="240" w:lineRule="auto"/>
              <w:rPr>
                <w:rFonts w:ascii="Times New Roman" w:eastAsia="Times New Roman" w:hAnsi="Times New Roman" w:cs="Times New Roman"/>
                <w:sz w:val="24"/>
                <w:szCs w:val="24"/>
                <w:lang w:eastAsia="ru-RU"/>
              </w:rPr>
            </w:pPr>
            <w:r w:rsidRPr="00C37614">
              <w:rPr>
                <w:rFonts w:ascii="Times New Roman" w:eastAsia="Times New Roman" w:hAnsi="Times New Roman" w:cs="Times New Roman"/>
                <w:sz w:val="24"/>
                <w:szCs w:val="24"/>
                <w:lang w:eastAsia="ru-RU"/>
              </w:rPr>
              <w:t>Назначение контактов разъема "УПРАВЛ.":</w:t>
            </w:r>
            <w:r w:rsidRPr="00C37614">
              <w:rPr>
                <w:rFonts w:ascii="Times New Roman" w:eastAsia="Times New Roman" w:hAnsi="Times New Roman" w:cs="Times New Roman"/>
                <w:sz w:val="24"/>
                <w:szCs w:val="24"/>
                <w:lang w:eastAsia="ru-RU"/>
              </w:rPr>
              <w:br/>
            </w:r>
            <w:r w:rsidRPr="00C37614">
              <w:rPr>
                <w:rFonts w:ascii="Times New Roman" w:eastAsia="Times New Roman" w:hAnsi="Times New Roman" w:cs="Times New Roman"/>
                <w:noProof/>
                <w:sz w:val="24"/>
                <w:szCs w:val="24"/>
                <w:lang w:eastAsia="ru-RU"/>
              </w:rPr>
              <w:drawing>
                <wp:inline distT="0" distB="0" distL="0" distR="0" wp14:anchorId="7CC11271" wp14:editId="538FCB5E">
                  <wp:extent cx="4143375" cy="2124075"/>
                  <wp:effectExtent l="0" t="0" r="9525" b="9525"/>
                  <wp:docPr id="4" name="Рисунок 4" descr="Назначение контактов разъема УПРАВ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значение контактов разъема УПРАВ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124075"/>
                          </a:xfrm>
                          <a:prstGeom prst="rect">
                            <a:avLst/>
                          </a:prstGeom>
                          <a:noFill/>
                          <a:ln>
                            <a:noFill/>
                          </a:ln>
                        </pic:spPr>
                      </pic:pic>
                    </a:graphicData>
                  </a:graphic>
                </wp:inline>
              </w:drawing>
            </w:r>
          </w:p>
        </w:tc>
      </w:tr>
    </w:tbl>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Схема соединения сигнализатора с блоком питания БСП-6М:</w:t>
      </w:r>
    </w:p>
    <w:p w:rsidR="00C37614" w:rsidRPr="00C37614" w:rsidRDefault="00C37614" w:rsidP="00C37614">
      <w:pPr>
        <w:shd w:val="clear" w:color="auto" w:fill="FFFFFF"/>
        <w:spacing w:after="0" w:line="240" w:lineRule="auto"/>
        <w:jc w:val="center"/>
        <w:rPr>
          <w:rFonts w:ascii="Arial" w:eastAsia="Times New Roman" w:hAnsi="Arial" w:cs="Arial"/>
          <w:color w:val="666666"/>
          <w:sz w:val="21"/>
          <w:szCs w:val="21"/>
          <w:lang w:eastAsia="ru-RU"/>
        </w:rPr>
      </w:pPr>
      <w:r w:rsidRPr="00C37614">
        <w:rPr>
          <w:rFonts w:ascii="Arial" w:eastAsia="Times New Roman" w:hAnsi="Arial" w:cs="Arial"/>
          <w:noProof/>
          <w:color w:val="666666"/>
          <w:sz w:val="21"/>
          <w:szCs w:val="21"/>
          <w:lang w:eastAsia="ru-RU"/>
        </w:rPr>
        <w:lastRenderedPageBreak/>
        <w:drawing>
          <wp:inline distT="0" distB="0" distL="0" distR="0" wp14:anchorId="15ED82EC" wp14:editId="449628F3">
            <wp:extent cx="3810000" cy="1743075"/>
            <wp:effectExtent l="0" t="0" r="0" b="9525"/>
            <wp:docPr id="5" name="Рисунок 5" descr="Схема соединения сигнализатора СГГ-6М с блоком питания БСП-6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соединения сигнализатора СГГ-6М с блоком питания БСП-6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743075"/>
                    </a:xfrm>
                    <a:prstGeom prst="rect">
                      <a:avLst/>
                    </a:prstGeom>
                    <a:noFill/>
                    <a:ln>
                      <a:noFill/>
                    </a:ln>
                  </pic:spPr>
                </pic:pic>
              </a:graphicData>
            </a:graphic>
          </wp:inline>
        </w:drawing>
      </w:r>
    </w:p>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Соединение сигнализаторов СГГ-6М в шлейф:</w:t>
      </w:r>
    </w:p>
    <w:p w:rsidR="00C37614" w:rsidRPr="00C37614" w:rsidRDefault="00C37614" w:rsidP="00C37614">
      <w:pPr>
        <w:shd w:val="clear" w:color="auto" w:fill="FFFFFF"/>
        <w:spacing w:after="0" w:line="240" w:lineRule="auto"/>
        <w:jc w:val="center"/>
        <w:rPr>
          <w:rFonts w:ascii="Arial" w:eastAsia="Times New Roman" w:hAnsi="Arial" w:cs="Arial"/>
          <w:color w:val="666666"/>
          <w:sz w:val="21"/>
          <w:szCs w:val="21"/>
          <w:lang w:eastAsia="ru-RU"/>
        </w:rPr>
      </w:pPr>
      <w:r w:rsidRPr="00C37614">
        <w:rPr>
          <w:rFonts w:ascii="Arial" w:eastAsia="Times New Roman" w:hAnsi="Arial" w:cs="Arial"/>
          <w:noProof/>
          <w:color w:val="666666"/>
          <w:sz w:val="21"/>
          <w:szCs w:val="21"/>
          <w:lang w:eastAsia="ru-RU"/>
        </w:rPr>
        <w:drawing>
          <wp:inline distT="0" distB="0" distL="0" distR="0" wp14:anchorId="53C4539A" wp14:editId="2B3B58E6">
            <wp:extent cx="4762500" cy="2409825"/>
            <wp:effectExtent l="0" t="0" r="0" b="9525"/>
            <wp:docPr id="6" name="Рисунок 6" descr="Соединение сигнализаторов СГГ-6М в шлей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единение сигнализаторов СГГ-6М в шлейф"/>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409825"/>
                    </a:xfrm>
                    <a:prstGeom prst="rect">
                      <a:avLst/>
                    </a:prstGeom>
                    <a:noFill/>
                    <a:ln>
                      <a:noFill/>
                    </a:ln>
                  </pic:spPr>
                </pic:pic>
              </a:graphicData>
            </a:graphic>
          </wp:inline>
        </w:drawing>
      </w:r>
    </w:p>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Совместная работа СГГ-6М с </w:t>
      </w:r>
      <w:hyperlink r:id="rId13" w:history="1">
        <w:r w:rsidRPr="00C37614">
          <w:rPr>
            <w:rFonts w:ascii="Arial" w:eastAsia="Times New Roman" w:hAnsi="Arial" w:cs="Arial"/>
            <w:color w:val="4A80BE"/>
            <w:sz w:val="21"/>
            <w:szCs w:val="21"/>
            <w:lang w:eastAsia="ru-RU"/>
          </w:rPr>
          <w:t>сигнализатором СОУ-1</w:t>
        </w:r>
      </w:hyperlink>
      <w:r w:rsidRPr="00C37614">
        <w:rPr>
          <w:rFonts w:ascii="Arial" w:eastAsia="Times New Roman" w:hAnsi="Arial" w:cs="Arial"/>
          <w:color w:val="666666"/>
          <w:sz w:val="21"/>
          <w:szCs w:val="21"/>
          <w:lang w:eastAsia="ru-RU"/>
        </w:rPr>
        <w:t>:</w:t>
      </w:r>
    </w:p>
    <w:p w:rsidR="00C37614" w:rsidRPr="00C37614" w:rsidRDefault="00C37614" w:rsidP="00C37614">
      <w:pPr>
        <w:shd w:val="clear" w:color="auto" w:fill="FFFFFF"/>
        <w:spacing w:after="0" w:line="240" w:lineRule="auto"/>
        <w:jc w:val="center"/>
        <w:rPr>
          <w:rFonts w:ascii="Arial" w:eastAsia="Times New Roman" w:hAnsi="Arial" w:cs="Arial"/>
          <w:color w:val="666666"/>
          <w:sz w:val="21"/>
          <w:szCs w:val="21"/>
          <w:lang w:eastAsia="ru-RU"/>
        </w:rPr>
      </w:pPr>
      <w:r w:rsidRPr="00C37614">
        <w:rPr>
          <w:rFonts w:ascii="Arial" w:eastAsia="Times New Roman" w:hAnsi="Arial" w:cs="Arial"/>
          <w:noProof/>
          <w:color w:val="666666"/>
          <w:sz w:val="21"/>
          <w:szCs w:val="21"/>
          <w:lang w:eastAsia="ru-RU"/>
        </w:rPr>
        <w:drawing>
          <wp:inline distT="0" distB="0" distL="0" distR="0" wp14:anchorId="2DC819CE" wp14:editId="1A4BD18E">
            <wp:extent cx="5238750" cy="2828925"/>
            <wp:effectExtent l="0" t="0" r="0" b="9525"/>
            <wp:docPr id="7" name="Рисунок 7" descr="Совместная работа СГГ-6М с СО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местная работа СГГ-6М с СОУ-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2828925"/>
                    </a:xfrm>
                    <a:prstGeom prst="rect">
                      <a:avLst/>
                    </a:prstGeom>
                    <a:noFill/>
                    <a:ln>
                      <a:noFill/>
                    </a:ln>
                  </pic:spPr>
                </pic:pic>
              </a:graphicData>
            </a:graphic>
          </wp:inline>
        </w:drawing>
      </w:r>
    </w:p>
    <w:p w:rsidR="00C37614" w:rsidRPr="00C37614" w:rsidRDefault="00C37614" w:rsidP="00C37614">
      <w:pPr>
        <w:shd w:val="clear" w:color="auto" w:fill="FFFFFF"/>
        <w:spacing w:before="300" w:after="150" w:line="240" w:lineRule="auto"/>
        <w:outlineLvl w:val="1"/>
        <w:rPr>
          <w:rFonts w:ascii="Arial" w:eastAsia="Times New Roman" w:hAnsi="Arial" w:cs="Arial"/>
          <w:color w:val="FB7E25"/>
          <w:sz w:val="27"/>
          <w:szCs w:val="27"/>
          <w:lang w:eastAsia="ru-RU"/>
        </w:rPr>
      </w:pPr>
      <w:r w:rsidRPr="00C37614">
        <w:rPr>
          <w:rFonts w:ascii="Arial" w:eastAsia="Times New Roman" w:hAnsi="Arial" w:cs="Arial"/>
          <w:color w:val="FB7E25"/>
          <w:sz w:val="27"/>
          <w:szCs w:val="27"/>
          <w:lang w:eastAsia="ru-RU"/>
        </w:rPr>
        <w:t>Комплект поставки</w:t>
      </w:r>
    </w:p>
    <w:p w:rsidR="00C37614" w:rsidRPr="00C37614" w:rsidRDefault="00C37614" w:rsidP="00C37614">
      <w:pPr>
        <w:shd w:val="clear" w:color="auto" w:fill="FFFFFF"/>
        <w:spacing w:after="150"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В комплект поставки сигнализатора входит:</w:t>
      </w:r>
    </w:p>
    <w:p w:rsidR="00C37614" w:rsidRPr="00C37614" w:rsidRDefault="00C37614" w:rsidP="00C37614">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Датчик СГГ-6М;</w:t>
      </w:r>
    </w:p>
    <w:p w:rsidR="00C37614" w:rsidRPr="00C37614" w:rsidRDefault="00C37614" w:rsidP="00C37614">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Блок сигнализации и питания БСП-6М;</w:t>
      </w:r>
    </w:p>
    <w:p w:rsidR="00C37614" w:rsidRPr="00C37614" w:rsidRDefault="00C37614" w:rsidP="00C37614">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Принадлежности и запасные части;</w:t>
      </w:r>
    </w:p>
    <w:p w:rsidR="00C37614" w:rsidRPr="00C37614" w:rsidRDefault="00C37614" w:rsidP="00C37614">
      <w:pPr>
        <w:numPr>
          <w:ilvl w:val="0"/>
          <w:numId w:val="2"/>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C37614">
        <w:rPr>
          <w:rFonts w:ascii="Arial" w:eastAsia="Times New Roman" w:hAnsi="Arial" w:cs="Arial"/>
          <w:color w:val="666666"/>
          <w:sz w:val="21"/>
          <w:szCs w:val="21"/>
          <w:lang w:eastAsia="ru-RU"/>
        </w:rPr>
        <w:t>Эксплуатационная и техническая документация.</w:t>
      </w:r>
    </w:p>
    <w:p w:rsidR="002021AC" w:rsidRDefault="002021AC">
      <w:bookmarkStart w:id="0" w:name="_GoBack"/>
      <w:bookmarkEnd w:id="0"/>
    </w:p>
    <w:sectPr w:rsidR="0020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FD9"/>
    <w:multiLevelType w:val="multilevel"/>
    <w:tmpl w:val="5B3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74745"/>
    <w:multiLevelType w:val="multilevel"/>
    <w:tmpl w:val="AE58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BD"/>
    <w:rsid w:val="002021AC"/>
    <w:rsid w:val="00C37614"/>
    <w:rsid w:val="00FA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A45A1-B3E0-401C-8EFE-5390B557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8831">
      <w:bodyDiv w:val="1"/>
      <w:marLeft w:val="0"/>
      <w:marRight w:val="0"/>
      <w:marTop w:val="0"/>
      <w:marBottom w:val="0"/>
      <w:divBdr>
        <w:top w:val="none" w:sz="0" w:space="0" w:color="auto"/>
        <w:left w:val="none" w:sz="0" w:space="0" w:color="auto"/>
        <w:bottom w:val="none" w:sz="0" w:space="0" w:color="auto"/>
        <w:right w:val="none" w:sz="0" w:space="0" w:color="auto"/>
      </w:divBdr>
      <w:divsChild>
        <w:div w:id="1804692019">
          <w:marLeft w:val="0"/>
          <w:marRight w:val="0"/>
          <w:marTop w:val="0"/>
          <w:marBottom w:val="0"/>
          <w:divBdr>
            <w:top w:val="none" w:sz="0" w:space="0" w:color="auto"/>
            <w:left w:val="none" w:sz="0" w:space="0" w:color="auto"/>
            <w:bottom w:val="none" w:sz="0" w:space="0" w:color="auto"/>
            <w:right w:val="none" w:sz="0" w:space="0" w:color="auto"/>
          </w:divBdr>
        </w:div>
        <w:div w:id="853348336">
          <w:marLeft w:val="0"/>
          <w:marRight w:val="0"/>
          <w:marTop w:val="0"/>
          <w:marBottom w:val="0"/>
          <w:divBdr>
            <w:top w:val="none" w:sz="0" w:space="0" w:color="auto"/>
            <w:left w:val="none" w:sz="0" w:space="0" w:color="auto"/>
            <w:bottom w:val="none" w:sz="0" w:space="0" w:color="auto"/>
            <w:right w:val="none" w:sz="0" w:space="0" w:color="auto"/>
          </w:divBdr>
        </w:div>
        <w:div w:id="1381827629">
          <w:marLeft w:val="0"/>
          <w:marRight w:val="0"/>
          <w:marTop w:val="0"/>
          <w:marBottom w:val="0"/>
          <w:divBdr>
            <w:top w:val="none" w:sz="0" w:space="0" w:color="auto"/>
            <w:left w:val="none" w:sz="0" w:space="0" w:color="auto"/>
            <w:bottom w:val="none" w:sz="0" w:space="0" w:color="auto"/>
            <w:right w:val="none" w:sz="0" w:space="0" w:color="auto"/>
          </w:divBdr>
        </w:div>
        <w:div w:id="154089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azanalizator.ru/gazoanalizatory/signalizator-sou-1" TargetMode="External"/><Relationship Id="rId3" Type="http://schemas.openxmlformats.org/officeDocument/2006/relationships/settings" Target="settings.xml"/><Relationship Id="rId7" Type="http://schemas.openxmlformats.org/officeDocument/2006/relationships/hyperlink" Target="https://www.gazanalizator.ru/gazoanalizatory/signalizator-sou-1"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gazanalizator.ru/gazoanalizatory/blok-pitaniya-i-signalizatsii-bsp-6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2022-09-01T15:01:00Z</dcterms:created>
  <dcterms:modified xsi:type="dcterms:W3CDTF">2022-09-01T15:01:00Z</dcterms:modified>
</cp:coreProperties>
</file>