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3E" w:rsidRPr="0010503E" w:rsidRDefault="0010503E" w:rsidP="0010503E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10503E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Сигнализатор загазованности природным газом СЗ-2Аi служит для непрерывного автоматического контроля содержания оксида углерода (СО) в атмосфере помещений и оповещения световым и звуковым сигналами о появлении опасных концентраций газа. </w:t>
      </w:r>
      <w:r w:rsidRPr="0010503E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br/>
      </w:r>
      <w:r w:rsidRPr="0010503E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</w:r>
      <w:r w:rsidRPr="0010503E">
        <w:rPr>
          <w:rFonts w:ascii="Roboto" w:eastAsia="Times New Roman" w:hAnsi="Roboto" w:cs="Times New Roman"/>
          <w:i/>
          <w:iCs/>
          <w:color w:val="222222"/>
          <w:sz w:val="24"/>
          <w:szCs w:val="24"/>
          <w:lang w:eastAsia="ru-RU"/>
        </w:rPr>
        <w:t>Сигнализатор предназначен для применения в жилых одно- и многоквартирных домах, дачах, коттеджах, во взрывобезопасных зонах других производственных, административных и коммунально-бытовых помещений, где газ используется для отопления и приготовления пищи.</w:t>
      </w:r>
      <w:r w:rsidRPr="0010503E">
        <w:rPr>
          <w:rFonts w:ascii="Roboto" w:eastAsia="Times New Roman" w:hAnsi="Roboto" w:cs="Times New Roman"/>
          <w:i/>
          <w:iCs/>
          <w:color w:val="222222"/>
          <w:sz w:val="24"/>
          <w:szCs w:val="24"/>
          <w:lang w:eastAsia="ru-RU"/>
        </w:rPr>
        <w:br/>
      </w:r>
      <w:r w:rsidRPr="0010503E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>Сигнализаторы могут применяться как в составе систем автоматического контроля загазованности типа САКЗ-МК®-2-1Аi, так и самостоятельно.</w:t>
      </w:r>
      <w:r w:rsidRPr="0010503E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>Сигнализатор СЗ-2Аi способен управлять импульсным электромагнитным запорным клапаном типа КЗЭУГ-А и КЗЭУГ-Б, контролировать исправность электромагнита клапана и соединительного кабеля. При отключении электропитания клапан останется открытым.</w:t>
      </w:r>
      <w:r w:rsidRPr="0010503E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>Сигнализатор способен автоматически определять наличие подключенных устройств (например, клапана или другого сигнализатора).</w:t>
      </w:r>
    </w:p>
    <w:p w:rsidR="0010503E" w:rsidRPr="0010503E" w:rsidRDefault="0010503E" w:rsidP="0010503E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10503E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Тип сигнализаторов: стационарный, непрерывного действия, одноканальный, с диффузионной подачей контролируемой среды, с двумя фиксированными порогами сигнализации.</w:t>
      </w:r>
    </w:p>
    <w:tbl>
      <w:tblPr>
        <w:tblW w:w="6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10503E" w:rsidRPr="0010503E" w:rsidTr="0010503E">
        <w:tc>
          <w:tcPr>
            <w:tcW w:w="2500" w:type="pct"/>
            <w:shd w:val="clear" w:color="auto" w:fill="EF7F1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b/>
                <w:bCs/>
                <w:color w:val="FFFFFF"/>
                <w:sz w:val="27"/>
                <w:szCs w:val="27"/>
                <w:lang w:eastAsia="ru-RU"/>
              </w:rPr>
              <w:t>Наименование параметра или характеристики</w:t>
            </w:r>
          </w:p>
        </w:tc>
        <w:tc>
          <w:tcPr>
            <w:tcW w:w="3111" w:type="dxa"/>
            <w:shd w:val="clear" w:color="auto" w:fill="EF7F1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b/>
                <w:bCs/>
                <w:color w:val="FFFFFF"/>
                <w:sz w:val="27"/>
                <w:szCs w:val="27"/>
                <w:lang w:eastAsia="ru-RU"/>
              </w:rPr>
              <w:t>значение для СЗ–2–2Аi</w:t>
            </w:r>
          </w:p>
        </w:tc>
      </w:tr>
      <w:tr w:rsidR="0010503E" w:rsidRPr="0010503E" w:rsidTr="0010503E">
        <w:tc>
          <w:tcPr>
            <w:tcW w:w="31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  <w:t>Концентрация СО, вызывающая срабатывание сигнализатора по уровням «Порог 1″/»Порог 2», мг/м3</w:t>
            </w:r>
          </w:p>
        </w:tc>
        <w:tc>
          <w:tcPr>
            <w:tcW w:w="311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  <w:t>20/100</w:t>
            </w:r>
          </w:p>
        </w:tc>
      </w:tr>
      <w:tr w:rsidR="0010503E" w:rsidRPr="0010503E" w:rsidTr="0010503E">
        <w:tc>
          <w:tcPr>
            <w:tcW w:w="31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  <w:t>Предел допускаемой основной абсолютной погрешности срабатывания сигнализатора по уровням «Порог 1″/»Порог 2», мг/м3</w:t>
            </w:r>
          </w:p>
        </w:tc>
        <w:tc>
          <w:tcPr>
            <w:tcW w:w="311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  <w:t>±5/ ±25</w:t>
            </w:r>
          </w:p>
        </w:tc>
      </w:tr>
      <w:tr w:rsidR="0010503E" w:rsidRPr="0010503E" w:rsidTr="0010503E">
        <w:tc>
          <w:tcPr>
            <w:tcW w:w="31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  <w:t>Время срабатывания сигнализации, с, не более</w:t>
            </w:r>
          </w:p>
        </w:tc>
        <w:tc>
          <w:tcPr>
            <w:tcW w:w="311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  <w:t>60</w:t>
            </w:r>
          </w:p>
        </w:tc>
      </w:tr>
      <w:tr w:rsidR="0010503E" w:rsidRPr="0010503E" w:rsidTr="0010503E">
        <w:tc>
          <w:tcPr>
            <w:tcW w:w="31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  <w:t>Время установления рабочего режима, с, не более</w:t>
            </w:r>
          </w:p>
        </w:tc>
        <w:tc>
          <w:tcPr>
            <w:tcW w:w="311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  <w:t>30</w:t>
            </w:r>
          </w:p>
        </w:tc>
      </w:tr>
      <w:tr w:rsidR="0010503E" w:rsidRPr="0010503E" w:rsidTr="0010503E">
        <w:tc>
          <w:tcPr>
            <w:tcW w:w="31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  <w:t>Напряжение питания (с адаптером питания, от сети переменного тока частотой (50±1) Гц), В</w:t>
            </w:r>
          </w:p>
        </w:tc>
        <w:tc>
          <w:tcPr>
            <w:tcW w:w="311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  <w:t>230±23</w:t>
            </w:r>
          </w:p>
        </w:tc>
      </w:tr>
      <w:tr w:rsidR="0010503E" w:rsidRPr="0010503E" w:rsidTr="0010503E">
        <w:tc>
          <w:tcPr>
            <w:tcW w:w="31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  <w:lastRenderedPageBreak/>
              <w:t>Напряжение питания (от внешнего источника постоянного тока), В</w:t>
            </w:r>
          </w:p>
        </w:tc>
        <w:tc>
          <w:tcPr>
            <w:tcW w:w="311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  <w:t>5,0±0,2</w:t>
            </w:r>
          </w:p>
        </w:tc>
      </w:tr>
      <w:tr w:rsidR="0010503E" w:rsidRPr="0010503E" w:rsidTr="0010503E">
        <w:tc>
          <w:tcPr>
            <w:tcW w:w="31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  <w:t>Потребляемая мощность, ВА, не более</w:t>
            </w:r>
          </w:p>
        </w:tc>
        <w:tc>
          <w:tcPr>
            <w:tcW w:w="311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  <w:t>1,0</w:t>
            </w:r>
          </w:p>
        </w:tc>
      </w:tr>
      <w:tr w:rsidR="0010503E" w:rsidRPr="0010503E" w:rsidTr="0010503E">
        <w:tc>
          <w:tcPr>
            <w:tcW w:w="31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  <w:t>Габаритные размеры (без адаптера питания), мм, не более</w:t>
            </w:r>
          </w:p>
        </w:tc>
        <w:tc>
          <w:tcPr>
            <w:tcW w:w="311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  <w:t>90 х 58 х 32</w:t>
            </w:r>
          </w:p>
        </w:tc>
      </w:tr>
      <w:tr w:rsidR="0010503E" w:rsidRPr="0010503E" w:rsidTr="0010503E">
        <w:tc>
          <w:tcPr>
            <w:tcW w:w="31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  <w:t>Масса, кг, не более</w:t>
            </w:r>
          </w:p>
        </w:tc>
        <w:tc>
          <w:tcPr>
            <w:tcW w:w="311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center"/>
            <w:hideMark/>
          </w:tcPr>
          <w:p w:rsidR="0010503E" w:rsidRPr="0010503E" w:rsidRDefault="0010503E" w:rsidP="001050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</w:pPr>
            <w:r w:rsidRPr="0010503E">
              <w:rPr>
                <w:rFonts w:ascii="Roboto" w:eastAsia="Times New Roman" w:hAnsi="Roboto" w:cs="Times New Roman"/>
                <w:color w:val="222222"/>
                <w:sz w:val="27"/>
                <w:szCs w:val="27"/>
                <w:lang w:eastAsia="ru-RU"/>
              </w:rPr>
              <w:t>0,1</w:t>
            </w:r>
          </w:p>
        </w:tc>
      </w:tr>
    </w:tbl>
    <w:p w:rsidR="005F0667" w:rsidRDefault="005F0667">
      <w:bookmarkStart w:id="0" w:name="_GoBack"/>
      <w:bookmarkEnd w:id="0"/>
    </w:p>
    <w:sectPr w:rsidR="005F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DC"/>
    <w:rsid w:val="0010503E"/>
    <w:rsid w:val="005F0667"/>
    <w:rsid w:val="00A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D41B-026D-4365-A049-40558727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2022-09-01T14:25:00Z</dcterms:created>
  <dcterms:modified xsi:type="dcterms:W3CDTF">2022-09-01T14:25:00Z</dcterms:modified>
</cp:coreProperties>
</file>